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540" w:lineRule="exact"/>
        <w:rPr>
          <w:rFonts w:hint="eastAsia" w:ascii="仿宋" w:hAnsi="仿宋" w:eastAsia="仿宋" w:cs="Arial"/>
          <w:kern w:val="0"/>
          <w:sz w:val="32"/>
          <w:szCs w:val="32"/>
          <w:lang w:val="en-US" w:eastAsia="zh-CN"/>
        </w:rPr>
      </w:pPr>
      <w:r>
        <w:rPr>
          <w:rFonts w:hint="eastAsia" w:ascii="仿宋" w:hAnsi="仿宋" w:eastAsia="仿宋" w:cs="Arial"/>
          <w:kern w:val="0"/>
          <w:sz w:val="32"/>
          <w:szCs w:val="32"/>
        </w:rPr>
        <w:t>附件</w:t>
      </w:r>
      <w:r>
        <w:rPr>
          <w:rFonts w:hint="eastAsia" w:ascii="仿宋" w:hAnsi="仿宋" w:eastAsia="仿宋" w:cs="Arial"/>
          <w:kern w:val="0"/>
          <w:sz w:val="32"/>
          <w:szCs w:val="32"/>
          <w:lang w:val="en-US" w:eastAsia="zh-CN"/>
        </w:rPr>
        <w:t>2</w:t>
      </w:r>
      <w:bookmarkStart w:id="0" w:name="_GoBack"/>
      <w:bookmarkEnd w:id="0"/>
    </w:p>
    <w:p>
      <w:pPr>
        <w:shd w:val="clear" w:color="auto" w:fill="FFFFFF"/>
        <w:spacing w:line="540" w:lineRule="exact"/>
        <w:ind w:firstLine="640" w:firstLineChars="200"/>
        <w:rPr>
          <w:rFonts w:hint="eastAsia" w:ascii="仿宋" w:hAnsi="仿宋" w:eastAsia="仿宋" w:cs="Arial"/>
          <w:kern w:val="0"/>
          <w:sz w:val="32"/>
          <w:szCs w:val="32"/>
        </w:rPr>
      </w:pPr>
    </w:p>
    <w:p>
      <w:pPr>
        <w:spacing w:before="156" w:beforeLines="50" w:after="156" w:afterLines="50" w:line="560" w:lineRule="exact"/>
        <w:jc w:val="center"/>
        <w:rPr>
          <w:rFonts w:hint="eastAsia" w:ascii="方正小标宋简体" w:hAnsi="方正小标宋简体" w:eastAsia="方正小标宋简体" w:cs="方正小标宋简体"/>
          <w:b/>
          <w:bCs/>
          <w:color w:val="000000"/>
          <w:sz w:val="44"/>
          <w:szCs w:val="44"/>
        </w:rPr>
      </w:pPr>
      <w:r>
        <w:rPr>
          <w:rFonts w:hint="eastAsia" w:ascii="方正小标宋简体" w:hAnsi="方正小标宋简体" w:eastAsia="方正小标宋简体" w:cs="方正小标宋简体"/>
          <w:b/>
          <w:bCs/>
          <w:color w:val="000000"/>
          <w:sz w:val="44"/>
          <w:szCs w:val="44"/>
        </w:rPr>
        <w:t>第十届“全国杰出青年法学家”评选办法</w:t>
      </w:r>
    </w:p>
    <w:p>
      <w:pPr>
        <w:shd w:val="clear" w:color="auto" w:fill="FFFFFF"/>
        <w:spacing w:line="540" w:lineRule="exact"/>
        <w:ind w:firstLine="640" w:firstLineChars="200"/>
        <w:rPr>
          <w:rFonts w:hint="eastAsia" w:ascii="仿宋" w:hAnsi="仿宋" w:eastAsia="仿宋" w:cs="Arial"/>
          <w:kern w:val="0"/>
          <w:sz w:val="32"/>
          <w:szCs w:val="32"/>
        </w:rPr>
      </w:pPr>
    </w:p>
    <w:p>
      <w:pPr>
        <w:shd w:val="clear" w:color="auto" w:fill="FFFFFF"/>
        <w:spacing w:line="54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rPr>
        <w:t>根据《中国法学会2022年工作要点》，启动第十届“全国杰出青年法学家”评选表彰活动。为确保评选工作公开公平公正进行，并取得良好社会效果，特制定本评选办法。</w:t>
      </w:r>
    </w:p>
    <w:p>
      <w:pPr>
        <w:shd w:val="clear" w:color="auto" w:fill="FFFFFF"/>
        <w:spacing w:line="540" w:lineRule="exact"/>
        <w:ind w:firstLine="640" w:firstLineChars="200"/>
        <w:rPr>
          <w:rFonts w:ascii="黑体" w:hAnsi="黑体" w:eastAsia="黑体" w:cs="Arial"/>
          <w:kern w:val="0"/>
          <w:sz w:val="32"/>
          <w:szCs w:val="32"/>
        </w:rPr>
      </w:pPr>
      <w:r>
        <w:rPr>
          <w:rFonts w:hint="eastAsia" w:ascii="黑体" w:hAnsi="黑体" w:eastAsia="黑体" w:cs="Arial"/>
          <w:kern w:val="0"/>
          <w:sz w:val="32"/>
          <w:szCs w:val="32"/>
        </w:rPr>
        <w:t>一、评选宗旨</w:t>
      </w:r>
    </w:p>
    <w:p>
      <w:pPr>
        <w:shd w:val="clear" w:color="auto" w:fill="FFFFFF"/>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通过评选表彰活动，引导和激励广大法学法律工作者深入学习宣传贯彻党的二十大精神，坚持正确的政治方向，锐意进取、开拓创新，做中国特色社会主义法治道路的践行者、社会主义法治国家的建设者、中国特色社会主义法治理论的发展者、德才兼备的社会主义法治人才的培养者。</w:t>
      </w:r>
    </w:p>
    <w:p>
      <w:pPr>
        <w:shd w:val="clear" w:color="auto" w:fill="FFFFFF"/>
        <w:spacing w:line="540" w:lineRule="exact"/>
        <w:ind w:firstLine="640" w:firstLineChars="200"/>
        <w:rPr>
          <w:rFonts w:ascii="黑体" w:hAnsi="黑体" w:eastAsia="黑体" w:cs="Arial"/>
          <w:kern w:val="0"/>
          <w:sz w:val="32"/>
          <w:szCs w:val="32"/>
        </w:rPr>
      </w:pPr>
      <w:r>
        <w:rPr>
          <w:rFonts w:hint="eastAsia" w:ascii="黑体" w:hAnsi="黑体" w:eastAsia="黑体" w:cs="Arial"/>
          <w:kern w:val="0"/>
          <w:sz w:val="32"/>
          <w:szCs w:val="32"/>
        </w:rPr>
        <w:t>二、评选资格</w:t>
      </w:r>
    </w:p>
    <w:p>
      <w:pPr>
        <w:shd w:val="clear" w:color="auto" w:fill="FFFFFF"/>
        <w:spacing w:line="540" w:lineRule="exact"/>
        <w:ind w:firstLine="627" w:firstLineChars="196"/>
        <w:rPr>
          <w:rFonts w:hint="eastAsia" w:ascii="仿宋" w:hAnsi="仿宋" w:eastAsia="仿宋" w:cs="Arial"/>
          <w:kern w:val="0"/>
          <w:sz w:val="32"/>
          <w:szCs w:val="32"/>
        </w:rPr>
      </w:pPr>
      <w:r>
        <w:rPr>
          <w:rFonts w:hint="eastAsia" w:ascii="仿宋" w:hAnsi="仿宋" w:eastAsia="仿宋" w:cs="Arial"/>
          <w:kern w:val="0"/>
          <w:sz w:val="32"/>
          <w:szCs w:val="32"/>
        </w:rPr>
        <w:t>1.坚持以习近平新时代中国特色社会主义思想为指导，做习近平法治思想的坚定信仰者、积极传播者、模范实践者；</w:t>
      </w:r>
    </w:p>
    <w:p>
      <w:pPr>
        <w:shd w:val="clear" w:color="auto" w:fill="FFFFFF"/>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2.品行端正，学风严谨，学术规范；</w:t>
      </w:r>
    </w:p>
    <w:p>
      <w:pPr>
        <w:shd w:val="clear" w:color="auto" w:fill="FFFFFF"/>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3.具有原创意义或学术前沿水平的法学研究成果；</w:t>
      </w:r>
    </w:p>
    <w:p>
      <w:pPr>
        <w:shd w:val="clear" w:color="auto" w:fill="FFFFFF"/>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4.在法治决策咨询、法学教育、法治宣传、法治实践等方面取得显著成绩；</w:t>
      </w:r>
    </w:p>
    <w:p>
      <w:pPr>
        <w:shd w:val="clear" w:color="auto" w:fill="FFFFFF"/>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5.在法学法律界享有一定的学术影响和社会声誉；</w:t>
      </w:r>
    </w:p>
    <w:p>
      <w:pPr>
        <w:shd w:val="clear" w:color="auto" w:fill="FFFFFF"/>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6.3年内未受党纪政务处分；</w:t>
      </w:r>
    </w:p>
    <w:p>
      <w:pPr>
        <w:shd w:val="clear" w:color="auto" w:fill="FFFFFF"/>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7.年龄在45周岁以下(1977年1月1日以后出生)的我国法学法律工作者。</w:t>
      </w:r>
    </w:p>
    <w:p>
      <w:pPr>
        <w:shd w:val="clear" w:color="auto" w:fill="FFFFFF"/>
        <w:spacing w:line="540" w:lineRule="exact"/>
        <w:ind w:firstLine="640" w:firstLineChars="200"/>
        <w:rPr>
          <w:rFonts w:ascii="黑体" w:hAnsi="黑体" w:eastAsia="黑体" w:cs="Arial"/>
          <w:kern w:val="0"/>
          <w:sz w:val="32"/>
          <w:szCs w:val="32"/>
        </w:rPr>
      </w:pPr>
      <w:r>
        <w:rPr>
          <w:rFonts w:hint="eastAsia" w:ascii="黑体" w:hAnsi="黑体" w:eastAsia="黑体" w:cs="Arial"/>
          <w:kern w:val="0"/>
          <w:sz w:val="32"/>
          <w:szCs w:val="32"/>
        </w:rPr>
        <w:t>三、推荐候选人</w:t>
      </w:r>
    </w:p>
    <w:p>
      <w:pPr>
        <w:shd w:val="clear" w:color="auto" w:fill="FFFFFF"/>
        <w:spacing w:line="540" w:lineRule="exact"/>
        <w:ind w:firstLine="643" w:firstLineChars="200"/>
        <w:rPr>
          <w:rFonts w:ascii="楷体" w:hAnsi="楷体" w:eastAsia="楷体" w:cs="Arial"/>
          <w:bCs/>
          <w:kern w:val="0"/>
          <w:sz w:val="32"/>
          <w:szCs w:val="32"/>
        </w:rPr>
      </w:pPr>
      <w:r>
        <w:rPr>
          <w:rFonts w:hint="eastAsia" w:ascii="楷体" w:hAnsi="楷体" w:eastAsia="楷体" w:cs="Arial"/>
          <w:b/>
          <w:kern w:val="0"/>
          <w:sz w:val="32"/>
          <w:szCs w:val="32"/>
        </w:rPr>
        <w:t>（一）</w:t>
      </w:r>
      <w:r>
        <w:rPr>
          <w:rFonts w:hint="eastAsia" w:ascii="楷体" w:hAnsi="楷体" w:eastAsia="楷体" w:cs="Arial"/>
          <w:bCs/>
          <w:kern w:val="0"/>
          <w:sz w:val="32"/>
          <w:szCs w:val="32"/>
        </w:rPr>
        <w:t>推荐单位</w:t>
      </w:r>
    </w:p>
    <w:p>
      <w:pPr>
        <w:shd w:val="clear" w:color="auto" w:fill="FFFFFF"/>
        <w:spacing w:line="54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rPr>
        <w:t>1.</w:t>
      </w:r>
      <w:r>
        <w:rPr>
          <w:rFonts w:ascii="仿宋" w:hAnsi="仿宋" w:eastAsia="仿宋" w:cs="Arial"/>
          <w:kern w:val="0"/>
          <w:sz w:val="32"/>
          <w:szCs w:val="32"/>
        </w:rPr>
        <w:t>中国法学会</w:t>
      </w:r>
      <w:r>
        <w:rPr>
          <w:rFonts w:hint="eastAsia" w:ascii="仿宋" w:hAnsi="仿宋" w:eastAsia="仿宋" w:cs="Arial"/>
          <w:kern w:val="0"/>
          <w:sz w:val="32"/>
          <w:szCs w:val="32"/>
        </w:rPr>
        <w:t>各</w:t>
      </w:r>
      <w:r>
        <w:rPr>
          <w:rFonts w:ascii="仿宋" w:hAnsi="仿宋" w:eastAsia="仿宋" w:cs="Arial"/>
          <w:kern w:val="0"/>
          <w:sz w:val="32"/>
          <w:szCs w:val="32"/>
        </w:rPr>
        <w:t>研究会</w:t>
      </w:r>
      <w:r>
        <w:rPr>
          <w:rFonts w:hint="eastAsia" w:ascii="仿宋" w:hAnsi="仿宋" w:eastAsia="仿宋" w:cs="Arial"/>
          <w:kern w:val="0"/>
          <w:sz w:val="32"/>
          <w:szCs w:val="32"/>
        </w:rPr>
        <w:t>及其他全国性法学学术团体；</w:t>
      </w:r>
    </w:p>
    <w:p>
      <w:pPr>
        <w:shd w:val="clear" w:color="auto" w:fill="FFFFFF"/>
        <w:spacing w:line="54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rPr>
        <w:t>2.省、自治区、直辖市法学会，新疆生产建设兵团法学会；</w:t>
      </w:r>
    </w:p>
    <w:p>
      <w:pPr>
        <w:shd w:val="clear" w:color="auto" w:fill="FFFFFF"/>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3.具有一级法学博士学位授予权的法学院校和科研单位；</w:t>
      </w:r>
    </w:p>
    <w:p>
      <w:pPr>
        <w:shd w:val="clear" w:color="auto" w:fill="FFFFFF"/>
        <w:spacing w:line="54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rPr>
        <w:t>4.中央政法委、中央党校（国家行政学院）、最高人民法院、最高人民检察院、全国人大常委会法工委、公安部、司法部和中华全国律师协会。</w:t>
      </w:r>
    </w:p>
    <w:p>
      <w:pPr>
        <w:shd w:val="clear" w:color="auto" w:fill="FFFFFF"/>
        <w:spacing w:line="540" w:lineRule="exact"/>
        <w:ind w:firstLine="643" w:firstLineChars="200"/>
        <w:rPr>
          <w:rFonts w:ascii="楷体" w:hAnsi="楷体" w:eastAsia="楷体" w:cs="Arial"/>
          <w:bCs/>
          <w:kern w:val="0"/>
          <w:sz w:val="32"/>
          <w:szCs w:val="32"/>
        </w:rPr>
      </w:pPr>
      <w:r>
        <w:rPr>
          <w:rFonts w:hint="eastAsia" w:ascii="楷体" w:hAnsi="楷体" w:eastAsia="楷体" w:cs="Arial"/>
          <w:b/>
          <w:kern w:val="0"/>
          <w:sz w:val="32"/>
          <w:szCs w:val="32"/>
        </w:rPr>
        <w:t>（二）</w:t>
      </w:r>
      <w:r>
        <w:rPr>
          <w:rFonts w:hint="eastAsia" w:ascii="楷体" w:hAnsi="楷体" w:eastAsia="楷体" w:cs="Arial"/>
          <w:bCs/>
          <w:kern w:val="0"/>
          <w:sz w:val="32"/>
          <w:szCs w:val="32"/>
        </w:rPr>
        <w:t>推荐名额分配</w:t>
      </w:r>
    </w:p>
    <w:p>
      <w:pPr>
        <w:shd w:val="clear" w:color="auto" w:fill="FFFFFF"/>
        <w:spacing w:line="54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rPr>
        <w:t>1.各学科研究会、综合性研究会推荐候选人不超过3名；其他研究会推荐候选人不超过2名。具体名额另行通知。</w:t>
      </w:r>
    </w:p>
    <w:p>
      <w:pPr>
        <w:shd w:val="clear" w:color="auto" w:fill="FFFFFF"/>
        <w:spacing w:line="54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rPr>
        <w:t>2.各省级法学会推荐候选人不超过2名。</w:t>
      </w:r>
    </w:p>
    <w:p>
      <w:pPr>
        <w:shd w:val="clear" w:color="auto" w:fill="FFFFFF"/>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3.具有一级法学博士学位授予权的法学院校和科研单位推荐候选人不超过2名。</w:t>
      </w:r>
    </w:p>
    <w:p>
      <w:pPr>
        <w:shd w:val="clear" w:color="auto" w:fill="FFFFFF"/>
        <w:spacing w:line="54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rPr>
        <w:t>4.最高人民法院、最高人民检察院通过审判理论研究会、检察学研究会推荐，推荐候选人分别为3名；中央政法委、中央党校（国家行政学院）、全国人大常委会法工委、公安部、司法部和中华全国律师协会推荐候选人分别为2名。</w:t>
      </w:r>
    </w:p>
    <w:p>
      <w:pPr>
        <w:shd w:val="clear" w:color="auto" w:fill="FFFFFF"/>
        <w:spacing w:line="540" w:lineRule="exact"/>
        <w:ind w:firstLine="643" w:firstLineChars="200"/>
        <w:rPr>
          <w:rFonts w:ascii="楷体" w:hAnsi="楷体" w:eastAsia="楷体" w:cs="Arial"/>
          <w:bCs/>
          <w:kern w:val="0"/>
          <w:sz w:val="32"/>
          <w:szCs w:val="32"/>
        </w:rPr>
      </w:pPr>
      <w:r>
        <w:rPr>
          <w:rFonts w:hint="eastAsia" w:ascii="楷体" w:hAnsi="楷体" w:eastAsia="楷体" w:cs="Arial"/>
          <w:b/>
          <w:kern w:val="0"/>
          <w:sz w:val="32"/>
          <w:szCs w:val="32"/>
        </w:rPr>
        <w:t>（三）</w:t>
      </w:r>
      <w:r>
        <w:rPr>
          <w:rFonts w:hint="eastAsia" w:ascii="楷体" w:hAnsi="楷体" w:eastAsia="楷体" w:cs="Arial"/>
          <w:bCs/>
          <w:kern w:val="0"/>
          <w:sz w:val="32"/>
          <w:szCs w:val="32"/>
        </w:rPr>
        <w:t>推荐方式和程序</w:t>
      </w:r>
    </w:p>
    <w:p>
      <w:pPr>
        <w:shd w:val="clear" w:color="auto" w:fill="FFFFFF"/>
        <w:spacing w:line="54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rPr>
        <w:t>1.各推荐单位分别组成推荐评选委员会，人数一般不少于7名。</w:t>
      </w:r>
    </w:p>
    <w:p>
      <w:pPr>
        <w:shd w:val="clear" w:color="auto" w:fill="FFFFFF"/>
        <w:spacing w:line="54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rPr>
        <w:t>2.采取一定方式公布推荐评选公告。</w:t>
      </w:r>
    </w:p>
    <w:p>
      <w:pPr>
        <w:shd w:val="clear" w:color="auto" w:fill="FFFFFF"/>
        <w:spacing w:line="54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rPr>
        <w:t>3.推荐评选委员会通过投票程序选出本研究会、本地区、本单位、本系统的推荐候选人。</w:t>
      </w:r>
    </w:p>
    <w:p>
      <w:pPr>
        <w:shd w:val="clear" w:color="auto" w:fill="FFFFFF"/>
        <w:spacing w:line="54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rPr>
        <w:t>4.各推荐单位对推荐候选人及其相关信息进行公示。</w:t>
      </w:r>
    </w:p>
    <w:p>
      <w:pPr>
        <w:shd w:val="clear" w:color="auto" w:fill="FFFFFF"/>
        <w:spacing w:line="54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rPr>
        <w:t>5.推荐候选人超过1名的，应排序。</w:t>
      </w:r>
    </w:p>
    <w:p>
      <w:pPr>
        <w:shd w:val="clear" w:color="auto" w:fill="FFFFFF"/>
        <w:spacing w:line="54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rPr>
        <w:t>6.推荐候选人应当属于本研究会理事或本地区、本单位、本系统的法学法律工作者。</w:t>
      </w:r>
    </w:p>
    <w:p>
      <w:pPr>
        <w:shd w:val="clear" w:color="auto" w:fill="FFFFFF"/>
        <w:spacing w:line="540" w:lineRule="exact"/>
        <w:ind w:firstLine="643" w:firstLineChars="200"/>
        <w:rPr>
          <w:rFonts w:ascii="楷体" w:hAnsi="楷体" w:eastAsia="楷体" w:cs="Arial"/>
          <w:bCs/>
          <w:kern w:val="0"/>
          <w:sz w:val="32"/>
          <w:szCs w:val="32"/>
        </w:rPr>
      </w:pPr>
      <w:r>
        <w:rPr>
          <w:rFonts w:hint="eastAsia" w:ascii="楷体" w:hAnsi="楷体" w:eastAsia="楷体" w:cs="Arial"/>
          <w:b/>
          <w:kern w:val="0"/>
          <w:sz w:val="32"/>
          <w:szCs w:val="32"/>
        </w:rPr>
        <w:t>（四）</w:t>
      </w:r>
      <w:r>
        <w:rPr>
          <w:rFonts w:hint="eastAsia" w:ascii="楷体" w:hAnsi="楷体" w:eastAsia="楷体" w:cs="Arial"/>
          <w:bCs/>
          <w:kern w:val="0"/>
          <w:sz w:val="32"/>
          <w:szCs w:val="32"/>
        </w:rPr>
        <w:t>报送推荐候选人相关材料</w:t>
      </w:r>
    </w:p>
    <w:p>
      <w:pPr>
        <w:shd w:val="clear" w:color="auto" w:fill="FFFFFF"/>
        <w:spacing w:line="540" w:lineRule="exact"/>
        <w:ind w:firstLine="640" w:firstLineChars="200"/>
        <w:rPr>
          <w:rFonts w:ascii="仿宋" w:hAnsi="仿宋" w:eastAsia="仿宋" w:cs="Arial"/>
          <w:kern w:val="0"/>
          <w:sz w:val="32"/>
          <w:szCs w:val="32"/>
        </w:rPr>
      </w:pPr>
      <w:r>
        <w:rPr>
          <w:rFonts w:hint="eastAsia" w:ascii="仿宋" w:hAnsi="仿宋" w:eastAsia="仿宋" w:cs="Arial"/>
          <w:bCs/>
          <w:kern w:val="0"/>
          <w:sz w:val="32"/>
          <w:szCs w:val="32"/>
        </w:rPr>
        <w:t>推荐单位向中国法学会评选委员会办</w:t>
      </w:r>
      <w:r>
        <w:rPr>
          <w:rFonts w:hint="eastAsia" w:ascii="仿宋" w:hAnsi="仿宋" w:eastAsia="仿宋" w:cs="Arial"/>
          <w:kern w:val="0"/>
          <w:sz w:val="32"/>
          <w:szCs w:val="32"/>
        </w:rPr>
        <w:t>公室报送下列材料：</w:t>
      </w:r>
    </w:p>
    <w:p>
      <w:pPr>
        <w:shd w:val="clear" w:color="auto" w:fill="FFFFFF"/>
        <w:spacing w:line="54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rPr>
        <w:t>1.推荐评选情况报告（包括推荐评选委员会组成情况、推荐程序、推荐结果等，并盖章）；</w:t>
      </w:r>
    </w:p>
    <w:p>
      <w:pPr>
        <w:shd w:val="clear" w:color="auto" w:fill="FFFFFF"/>
        <w:spacing w:line="54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rPr>
        <w:t>2.第十届“全国杰出青年法学家”推荐表（一式四份）；</w:t>
      </w:r>
    </w:p>
    <w:p>
      <w:pPr>
        <w:shd w:val="clear" w:color="auto" w:fill="FFFFFF"/>
        <w:spacing w:line="54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rPr>
        <w:t>3.推荐候选人身份证复印件；</w:t>
      </w:r>
    </w:p>
    <w:p>
      <w:pPr>
        <w:shd w:val="clear" w:color="auto" w:fill="FFFFFF"/>
        <w:spacing w:line="54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rPr>
        <w:t>4.推荐候选人代表性学术专著1-2部（独著）、学术论文3-5篇（独著或第一作者）；</w:t>
      </w:r>
    </w:p>
    <w:p>
      <w:pPr>
        <w:shd w:val="clear" w:color="auto" w:fill="FFFFFF"/>
        <w:spacing w:line="54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rPr>
        <w:t>5.重要荣誉证书或证明复印件。</w:t>
      </w:r>
    </w:p>
    <w:p>
      <w:pPr>
        <w:shd w:val="clear" w:color="auto" w:fill="FFFFFF"/>
        <w:spacing w:line="540" w:lineRule="exact"/>
        <w:ind w:firstLine="627" w:firstLineChars="196"/>
        <w:rPr>
          <w:rFonts w:ascii="黑体" w:hAnsi="黑体" w:eastAsia="黑体" w:cs="Arial"/>
          <w:kern w:val="0"/>
          <w:sz w:val="32"/>
          <w:szCs w:val="32"/>
        </w:rPr>
      </w:pPr>
      <w:r>
        <w:rPr>
          <w:rFonts w:hint="eastAsia" w:ascii="黑体" w:hAnsi="黑体" w:eastAsia="黑体" w:cs="Arial"/>
          <w:kern w:val="0"/>
          <w:sz w:val="32"/>
          <w:szCs w:val="32"/>
        </w:rPr>
        <w:t>四、评选机构</w:t>
      </w:r>
    </w:p>
    <w:p>
      <w:pPr>
        <w:shd w:val="clear" w:color="auto" w:fill="FFFFFF"/>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1.评选委员会由中国法学会党组全体成员、学术委员会委员、有关中央单位负责人、知名专家组成，确定进入终评的候选人。终评委员会由中国法学会会长、常务副会长、副会长、学术委员会主任组成，投票产生第十届“全国杰出青年法学家”称号获得者及提名奖获得者。</w:t>
      </w:r>
    </w:p>
    <w:p>
      <w:pPr>
        <w:shd w:val="clear" w:color="auto" w:fill="FFFFFF"/>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2.评选委员会办公室设在中国法学会研究部，负责评选活动的事务性工作。</w:t>
      </w:r>
    </w:p>
    <w:p>
      <w:pPr>
        <w:shd w:val="clear" w:color="auto" w:fill="FFFFFF"/>
        <w:spacing w:line="540" w:lineRule="exact"/>
        <w:ind w:firstLine="627" w:firstLineChars="196"/>
        <w:rPr>
          <w:rFonts w:ascii="黑体" w:hAnsi="黑体" w:eastAsia="黑体" w:cs="Arial"/>
          <w:kern w:val="0"/>
          <w:sz w:val="32"/>
          <w:szCs w:val="32"/>
        </w:rPr>
      </w:pPr>
      <w:r>
        <w:rPr>
          <w:rFonts w:hint="eastAsia" w:ascii="黑体" w:hAnsi="黑体" w:eastAsia="黑体" w:cs="Arial"/>
          <w:kern w:val="0"/>
          <w:sz w:val="32"/>
          <w:szCs w:val="32"/>
        </w:rPr>
        <w:t>五、形式审查和公示</w:t>
      </w:r>
    </w:p>
    <w:p>
      <w:pPr>
        <w:shd w:val="clear" w:color="auto" w:fill="FFFFFF"/>
        <w:spacing w:line="540" w:lineRule="exact"/>
        <w:ind w:firstLine="640" w:firstLineChars="200"/>
        <w:jc w:val="left"/>
        <w:rPr>
          <w:rFonts w:ascii="仿宋" w:hAnsi="仿宋" w:eastAsia="仿宋" w:cs="Arial"/>
          <w:kern w:val="0"/>
          <w:sz w:val="32"/>
          <w:szCs w:val="32"/>
        </w:rPr>
      </w:pPr>
      <w:r>
        <w:rPr>
          <w:rFonts w:hint="eastAsia" w:ascii="仿宋" w:hAnsi="仿宋" w:eastAsia="仿宋" w:cs="Arial"/>
          <w:kern w:val="0"/>
          <w:sz w:val="32"/>
          <w:szCs w:val="32"/>
        </w:rPr>
        <w:t>1.评选委员会办公室对推荐候选人的材料进行形式审查，审查结果报评选委员会确定。</w:t>
      </w:r>
    </w:p>
    <w:p>
      <w:pPr>
        <w:shd w:val="clear" w:color="auto" w:fill="FFFFFF"/>
        <w:spacing w:line="54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rPr>
        <w:t>2.评选委员会办公室通过报刊、网站、新媒体向社会公示推荐候选人名单及相关信息，公示期为1个月。</w:t>
      </w:r>
    </w:p>
    <w:p>
      <w:pPr>
        <w:shd w:val="clear" w:color="auto" w:fill="FFFFFF"/>
        <w:spacing w:line="54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rPr>
        <w:t>3.评选委员会办公室对公示期间提出的异议和问题进行审核，对经核实确有问题的推荐候选人，取消其候选人资格。</w:t>
      </w:r>
    </w:p>
    <w:p>
      <w:pPr>
        <w:shd w:val="clear" w:color="auto" w:fill="FFFFFF"/>
        <w:spacing w:line="54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rPr>
        <w:t>4.公示期结束后，公布正式候选人名单。</w:t>
      </w:r>
    </w:p>
    <w:p>
      <w:pPr>
        <w:shd w:val="clear" w:color="auto" w:fill="FFFFFF"/>
        <w:spacing w:line="540" w:lineRule="exact"/>
        <w:ind w:firstLine="627" w:firstLineChars="196"/>
        <w:rPr>
          <w:rFonts w:ascii="黑体" w:hAnsi="黑体" w:eastAsia="黑体" w:cs="Arial"/>
          <w:kern w:val="0"/>
          <w:sz w:val="32"/>
          <w:szCs w:val="32"/>
        </w:rPr>
      </w:pPr>
      <w:r>
        <w:rPr>
          <w:rFonts w:hint="eastAsia" w:ascii="黑体" w:hAnsi="黑体" w:eastAsia="黑体" w:cs="Arial"/>
          <w:kern w:val="0"/>
          <w:sz w:val="32"/>
          <w:szCs w:val="32"/>
        </w:rPr>
        <w:t>六、组织评选</w:t>
      </w:r>
    </w:p>
    <w:p>
      <w:pPr>
        <w:shd w:val="clear" w:color="auto" w:fill="FFFFFF"/>
        <w:spacing w:line="540" w:lineRule="exact"/>
        <w:ind w:firstLine="482"/>
        <w:rPr>
          <w:rFonts w:ascii="楷体" w:hAnsi="楷体" w:eastAsia="楷体" w:cs="Arial"/>
          <w:b/>
          <w:kern w:val="0"/>
          <w:sz w:val="32"/>
          <w:szCs w:val="32"/>
        </w:rPr>
      </w:pPr>
      <w:r>
        <w:rPr>
          <w:rFonts w:hint="eastAsia" w:ascii="楷体" w:hAnsi="楷体" w:eastAsia="楷体" w:cs="Arial"/>
          <w:b/>
          <w:kern w:val="0"/>
          <w:sz w:val="32"/>
          <w:szCs w:val="32"/>
        </w:rPr>
        <w:t xml:space="preserve"> （一）</w:t>
      </w:r>
      <w:r>
        <w:rPr>
          <w:rFonts w:hint="eastAsia" w:ascii="楷体" w:hAnsi="楷体" w:eastAsia="楷体" w:cs="Arial"/>
          <w:bCs/>
          <w:kern w:val="0"/>
          <w:sz w:val="32"/>
          <w:szCs w:val="32"/>
        </w:rPr>
        <w:t>评选程序和方式</w:t>
      </w:r>
    </w:p>
    <w:p>
      <w:pPr>
        <w:shd w:val="clear" w:color="auto" w:fill="FFFFFF"/>
        <w:spacing w:line="54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rPr>
        <w:t>评选工作分为两个阶段。</w:t>
      </w:r>
    </w:p>
    <w:p>
      <w:pPr>
        <w:shd w:val="clear" w:color="auto" w:fill="FFFFFF"/>
        <w:spacing w:line="54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rPr>
        <w:t>第一阶段：评选委员会评选，全体评选委员现场分组，首先进行分组评审推荐，然后进行全体委员审议、记名投票，根据票数多少，确定进入终评的候选人。</w:t>
      </w:r>
    </w:p>
    <w:p>
      <w:pPr>
        <w:shd w:val="clear" w:color="auto" w:fill="FFFFFF"/>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第二阶段：终评委员会投票产生第十届“全国杰出青年法学家”称号获得者10名、提名奖获得者20名。</w:t>
      </w:r>
    </w:p>
    <w:p>
      <w:pPr>
        <w:shd w:val="clear" w:color="auto" w:fill="FFFFFF"/>
        <w:spacing w:line="54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rPr>
        <w:t>“全国杰出青年法学家”称号获得者和提名奖获得者中，应有一定比例的法律界优秀人才。</w:t>
      </w:r>
    </w:p>
    <w:p>
      <w:pPr>
        <w:shd w:val="clear" w:color="auto" w:fill="FFFFFF"/>
        <w:spacing w:line="540" w:lineRule="exact"/>
        <w:ind w:firstLine="482"/>
        <w:rPr>
          <w:rFonts w:ascii="楷体" w:hAnsi="楷体" w:eastAsia="楷体" w:cs="Arial"/>
          <w:bCs/>
          <w:kern w:val="0"/>
          <w:sz w:val="32"/>
          <w:szCs w:val="32"/>
        </w:rPr>
      </w:pPr>
      <w:r>
        <w:rPr>
          <w:rFonts w:hint="eastAsia" w:ascii="楷体" w:hAnsi="楷体" w:eastAsia="楷体" w:cs="Arial"/>
          <w:b/>
          <w:kern w:val="0"/>
          <w:sz w:val="32"/>
          <w:szCs w:val="32"/>
        </w:rPr>
        <w:t>（二）</w:t>
      </w:r>
      <w:r>
        <w:rPr>
          <w:rFonts w:hint="eastAsia" w:ascii="楷体" w:hAnsi="楷体" w:eastAsia="楷体" w:cs="Arial"/>
          <w:bCs/>
          <w:kern w:val="0"/>
          <w:sz w:val="32"/>
          <w:szCs w:val="32"/>
        </w:rPr>
        <w:t>评价指标及分值</w:t>
      </w:r>
    </w:p>
    <w:p>
      <w:pPr>
        <w:shd w:val="clear" w:color="auto" w:fill="FFFFFF"/>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评价指标分为8项，满分为100分。</w:t>
      </w:r>
    </w:p>
    <w:p>
      <w:pPr>
        <w:shd w:val="clear" w:color="auto" w:fill="FFFFFF"/>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1.重要学术成果，包括专著、论文，所发表的刊物和被引数为重要依据，分值为30分；</w:t>
      </w:r>
    </w:p>
    <w:p>
      <w:pPr>
        <w:shd w:val="clear" w:color="auto" w:fill="FFFFFF"/>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2.重要智库成果，及智库成果获得领导批示、被有关部门使用采纳的情况，分值为10分；</w:t>
      </w:r>
    </w:p>
    <w:p>
      <w:pPr>
        <w:shd w:val="clear" w:color="auto" w:fill="FFFFFF"/>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3.在法学教育方面的贡献，如编写重点教材、主讲精品课程等，分值为10分；</w:t>
      </w:r>
    </w:p>
    <w:p>
      <w:pPr>
        <w:shd w:val="clear" w:color="auto" w:fill="FFFFFF"/>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4.在法治宣传方面的贡献，如担任法治宣讲活动主讲人、在媒体上发表法治宣传文章等，分值为10分；</w:t>
      </w:r>
    </w:p>
    <w:p>
      <w:pPr>
        <w:shd w:val="clear" w:color="auto" w:fill="FFFFFF"/>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5.在法治实践方面的贡献，如在实务部门挂职、参与重大案件论证、仲裁等，分值为10分；</w:t>
      </w:r>
    </w:p>
    <w:p>
      <w:pPr>
        <w:shd w:val="clear" w:color="auto" w:fill="FFFFFF"/>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6.在对外和对港澳台法学交流、涉外法律斗争方面的贡献，分值为10分；</w:t>
      </w:r>
    </w:p>
    <w:p>
      <w:pPr>
        <w:shd w:val="clear" w:color="auto" w:fill="FFFFFF"/>
        <w:spacing w:line="540" w:lineRule="exact"/>
        <w:ind w:firstLine="640" w:firstLineChars="200"/>
        <w:rPr>
          <w:rFonts w:ascii="仿宋" w:hAnsi="仿宋" w:eastAsia="仿宋" w:cs="Arial"/>
          <w:kern w:val="0"/>
          <w:sz w:val="32"/>
          <w:szCs w:val="32"/>
          <w:lang w:val="en"/>
        </w:rPr>
      </w:pPr>
      <w:r>
        <w:rPr>
          <w:rFonts w:hint="eastAsia" w:ascii="仿宋" w:hAnsi="仿宋" w:eastAsia="仿宋" w:cs="Arial"/>
          <w:kern w:val="0"/>
          <w:sz w:val="32"/>
          <w:szCs w:val="32"/>
        </w:rPr>
        <w:t>7.重要荣誉表彰，分值为10分</w:t>
      </w:r>
      <w:r>
        <w:rPr>
          <w:rFonts w:ascii="仿宋" w:hAnsi="仿宋" w:eastAsia="仿宋" w:cs="Arial"/>
          <w:kern w:val="0"/>
          <w:sz w:val="32"/>
          <w:szCs w:val="32"/>
          <w:lang w:val="en"/>
        </w:rPr>
        <w:t>；</w:t>
      </w:r>
    </w:p>
    <w:p>
      <w:pPr>
        <w:shd w:val="clear" w:color="auto" w:fill="FFFFFF"/>
        <w:spacing w:line="54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rPr>
        <w:t>8.学术影响和社会声誉，分值为10分。</w:t>
      </w:r>
    </w:p>
    <w:p>
      <w:pPr>
        <w:shd w:val="clear" w:color="auto" w:fill="FFFFFF"/>
        <w:spacing w:line="540" w:lineRule="exact"/>
        <w:ind w:firstLine="627" w:firstLineChars="196"/>
        <w:rPr>
          <w:rFonts w:hint="eastAsia" w:ascii="黑体" w:hAnsi="黑体" w:eastAsia="黑体" w:cs="Arial"/>
          <w:kern w:val="0"/>
          <w:sz w:val="32"/>
          <w:szCs w:val="32"/>
        </w:rPr>
      </w:pPr>
      <w:r>
        <w:rPr>
          <w:rFonts w:hint="eastAsia" w:ascii="黑体" w:hAnsi="黑体" w:eastAsia="黑体" w:cs="Arial"/>
          <w:kern w:val="0"/>
          <w:sz w:val="32"/>
          <w:szCs w:val="32"/>
        </w:rPr>
        <w:t>七、评选结果公布</w:t>
      </w:r>
    </w:p>
    <w:p>
      <w:pPr>
        <w:shd w:val="clear" w:color="auto" w:fill="FFFFFF"/>
        <w:spacing w:line="54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rPr>
        <w:t>评选结束当天即向社会发布评选结果公告。</w:t>
      </w:r>
    </w:p>
    <w:p>
      <w:pPr>
        <w:shd w:val="clear" w:color="auto" w:fill="FFFFFF"/>
        <w:spacing w:line="540" w:lineRule="exact"/>
        <w:ind w:firstLine="627" w:firstLineChars="196"/>
        <w:rPr>
          <w:rFonts w:ascii="黑体" w:hAnsi="黑体" w:eastAsia="黑体" w:cs="Arial"/>
          <w:kern w:val="0"/>
          <w:sz w:val="32"/>
          <w:szCs w:val="32"/>
        </w:rPr>
      </w:pPr>
      <w:r>
        <w:rPr>
          <w:rFonts w:hint="eastAsia" w:ascii="黑体" w:hAnsi="黑体" w:eastAsia="黑体" w:cs="Arial"/>
          <w:kern w:val="0"/>
          <w:sz w:val="32"/>
          <w:szCs w:val="32"/>
        </w:rPr>
        <w:t>八、评选纪律</w:t>
      </w:r>
    </w:p>
    <w:p>
      <w:pPr>
        <w:shd w:val="clear" w:color="auto" w:fill="FFFFFF"/>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评选委员会及评选委员会办公室全体人员必须严格遵守工作纪律，遵守保密规定，在评选活动中不得有任何形式的营私舞弊行为，不得与候选人及其单位或相关人员以任何方式进行任何可能干扰公正评选的联系。</w:t>
      </w:r>
    </w:p>
    <w:p>
      <w:pPr>
        <w:spacing w:line="20" w:lineRule="exact"/>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0000000000000000000"/>
    <w:charset w:val="86"/>
    <w:family w:val="auto"/>
    <w:pitch w:val="default"/>
    <w:sig w:usb0="00000000" w:usb1="00000000" w:usb2="00000012" w:usb3="00000000" w:csb0="00040001"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YzMWY4NGEwN2ZkMWNkNjRiZTU1MDAxNzRhY2YzNTIifQ=="/>
  </w:docVars>
  <w:rsids>
    <w:rsidRoot w:val="AFFF087D"/>
    <w:rsid w:val="000A783D"/>
    <w:rsid w:val="004E19BF"/>
    <w:rsid w:val="14EA57F2"/>
    <w:rsid w:val="19626308"/>
    <w:rsid w:val="1EBD9178"/>
    <w:rsid w:val="2CEFB339"/>
    <w:rsid w:val="2EFBBC48"/>
    <w:rsid w:val="3B9D0C2F"/>
    <w:rsid w:val="3BBF1B45"/>
    <w:rsid w:val="3DFF8C80"/>
    <w:rsid w:val="3FAC72FC"/>
    <w:rsid w:val="3FDF6C0E"/>
    <w:rsid w:val="3FE95ABC"/>
    <w:rsid w:val="56EEFD7E"/>
    <w:rsid w:val="57B74E1B"/>
    <w:rsid w:val="591FD8F5"/>
    <w:rsid w:val="5AAC40BB"/>
    <w:rsid w:val="5BF7087A"/>
    <w:rsid w:val="5DD32290"/>
    <w:rsid w:val="5DF46E1D"/>
    <w:rsid w:val="5DFEE7D4"/>
    <w:rsid w:val="5F3743E3"/>
    <w:rsid w:val="5FBC2178"/>
    <w:rsid w:val="6F9B4CF3"/>
    <w:rsid w:val="6FAF0381"/>
    <w:rsid w:val="6FFF2EC6"/>
    <w:rsid w:val="7A8FFAC6"/>
    <w:rsid w:val="7AFB59A5"/>
    <w:rsid w:val="7BDFCBFF"/>
    <w:rsid w:val="7CFECE28"/>
    <w:rsid w:val="7DB18C74"/>
    <w:rsid w:val="7DBAEB37"/>
    <w:rsid w:val="7DBF1A34"/>
    <w:rsid w:val="7DEB2C32"/>
    <w:rsid w:val="7DFF523D"/>
    <w:rsid w:val="7E5F3199"/>
    <w:rsid w:val="7EF35ADA"/>
    <w:rsid w:val="7F7B04A8"/>
    <w:rsid w:val="7F7EF37E"/>
    <w:rsid w:val="7FA5EC14"/>
    <w:rsid w:val="7FD7D6B2"/>
    <w:rsid w:val="7FF37BAA"/>
    <w:rsid w:val="9DBC5BFE"/>
    <w:rsid w:val="A7EB79A2"/>
    <w:rsid w:val="ABC2528A"/>
    <w:rsid w:val="ABFD3B40"/>
    <w:rsid w:val="AE8F304D"/>
    <w:rsid w:val="AFFF087D"/>
    <w:rsid w:val="B7D56515"/>
    <w:rsid w:val="B9EF54B5"/>
    <w:rsid w:val="BE3FDE16"/>
    <w:rsid w:val="BEFF65E4"/>
    <w:rsid w:val="D7371D03"/>
    <w:rsid w:val="D7FE4373"/>
    <w:rsid w:val="DE7F24A6"/>
    <w:rsid w:val="ED661AE8"/>
    <w:rsid w:val="EDFF9236"/>
    <w:rsid w:val="EEFDCF1B"/>
    <w:rsid w:val="EF358C7A"/>
    <w:rsid w:val="EFBFEC5E"/>
    <w:rsid w:val="F2715785"/>
    <w:rsid w:val="F3D759E3"/>
    <w:rsid w:val="F7AF7DD2"/>
    <w:rsid w:val="FAFBA160"/>
    <w:rsid w:val="FBDBA10B"/>
    <w:rsid w:val="FE7F89ED"/>
    <w:rsid w:val="FF6D7F3E"/>
    <w:rsid w:val="FFAD001C"/>
    <w:rsid w:val="FFBF67D3"/>
    <w:rsid w:val="FFD77033"/>
    <w:rsid w:val="FFDF0F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1"/>
    <w:qFormat/>
    <w:uiPriority w:val="0"/>
    <w:pPr>
      <w:keepNext/>
      <w:keepLines/>
      <w:spacing w:before="280" w:after="290" w:line="372" w:lineRule="auto"/>
      <w:outlineLvl w:val="3"/>
    </w:pPr>
    <w:rPr>
      <w:rFonts w:ascii="Arial" w:hAnsi="Arial" w:eastAsia="黑体"/>
      <w:b/>
      <w:sz w:val="28"/>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2032</Words>
  <Characters>2097</Characters>
  <Lines>15</Lines>
  <Paragraphs>4</Paragraphs>
  <TotalTime>3</TotalTime>
  <ScaleCrop>false</ScaleCrop>
  <LinksUpToDate>false</LinksUpToDate>
  <CharactersWithSpaces>2098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2022-12-28T03:45:00Z</dcterms:created>
  <dc:creator>fxhuser</dc:creator>
  <cp:lastModifiedBy>好</cp:lastModifiedBy>
  <cp:lastPrinted>2022-12-28T00:41:00Z</cp:lastPrinted>
  <dcterms:modified xsi:type="dcterms:W3CDTF">2022-12-31T07:21:14Z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4800F9B7D91042EBA833377E510539AC</vt:lpwstr>
  </property>
</Properties>
</file>